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85" w:rsidRDefault="00606585" w:rsidP="00606585">
      <w:pPr>
        <w:jc w:val="center"/>
        <w:rPr>
          <w:rFonts w:ascii="Arial" w:hAnsi="Arial" w:cs="Arial"/>
          <w:sz w:val="18"/>
          <w:szCs w:val="18"/>
        </w:rPr>
      </w:pPr>
    </w:p>
    <w:p w:rsidR="00606585" w:rsidRDefault="00606585" w:rsidP="006065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ΔΗΜΟΣ ΓΕΡΟΣΚΗΠΟΥ</w:t>
      </w:r>
    </w:p>
    <w:p w:rsidR="00606585" w:rsidRPr="00CF7C6D" w:rsidRDefault="00606585" w:rsidP="006065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Αποτελέσματα της γραπτής εξέτασης για την πλήρωση της κενής </w:t>
      </w:r>
      <w:r w:rsidR="00F9112F">
        <w:rPr>
          <w:rFonts w:ascii="Arial" w:hAnsi="Arial" w:cs="Arial"/>
          <w:sz w:val="18"/>
          <w:szCs w:val="18"/>
        </w:rPr>
        <w:t xml:space="preserve">μόνιμης </w:t>
      </w:r>
      <w:r w:rsidR="00CF7C6D">
        <w:rPr>
          <w:rFonts w:ascii="Arial" w:hAnsi="Arial" w:cs="Arial"/>
          <w:sz w:val="18"/>
          <w:szCs w:val="18"/>
        </w:rPr>
        <w:t>θέσης Τεχνικού Μηχανικού/Πολιτικής Μηχανικής</w:t>
      </w:r>
    </w:p>
    <w:p w:rsidR="00606585" w:rsidRDefault="00606585" w:rsidP="00606585">
      <w:pPr>
        <w:jc w:val="center"/>
        <w:rPr>
          <w:rFonts w:ascii="Arial" w:hAnsi="Arial" w:cs="Arial"/>
          <w:sz w:val="18"/>
          <w:szCs w:val="18"/>
        </w:rPr>
      </w:pPr>
    </w:p>
    <w:p w:rsidR="00606585" w:rsidRDefault="00606585" w:rsidP="006065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 Δήμος Γεροσκή</w:t>
      </w:r>
      <w:r w:rsidR="009C0B73">
        <w:rPr>
          <w:rFonts w:ascii="Arial" w:hAnsi="Arial" w:cs="Arial"/>
          <w:sz w:val="18"/>
          <w:szCs w:val="18"/>
        </w:rPr>
        <w:t>που, σύμφωνα με τις πρόνοιες του</w:t>
      </w:r>
      <w:r>
        <w:rPr>
          <w:rFonts w:ascii="Arial" w:hAnsi="Arial" w:cs="Arial"/>
          <w:sz w:val="18"/>
          <w:szCs w:val="18"/>
        </w:rPr>
        <w:t xml:space="preserve"> περί Αξιολόγησης Υποψηφίων για Διο</w:t>
      </w:r>
      <w:r w:rsidR="009C0B73">
        <w:rPr>
          <w:rFonts w:ascii="Arial" w:hAnsi="Arial" w:cs="Arial"/>
          <w:sz w:val="18"/>
          <w:szCs w:val="18"/>
        </w:rPr>
        <w:t>ρισμό στη Δημόσια Υπηρεσία Νόμου</w:t>
      </w:r>
      <w:r>
        <w:rPr>
          <w:rFonts w:ascii="Arial" w:hAnsi="Arial" w:cs="Arial"/>
          <w:sz w:val="18"/>
          <w:szCs w:val="18"/>
        </w:rPr>
        <w:t xml:space="preserve"> του 1998</w:t>
      </w:r>
      <w:r w:rsidR="009C0B73">
        <w:rPr>
          <w:rFonts w:ascii="Arial" w:hAnsi="Arial" w:cs="Arial"/>
          <w:sz w:val="18"/>
          <w:szCs w:val="18"/>
        </w:rPr>
        <w:t xml:space="preserve"> έως 201</w:t>
      </w:r>
      <w:r>
        <w:rPr>
          <w:rFonts w:ascii="Arial" w:hAnsi="Arial" w:cs="Arial"/>
          <w:sz w:val="18"/>
          <w:szCs w:val="18"/>
        </w:rPr>
        <w:t>8, γνωστοποιεί τα αποτελέσματα της εν λόγω γραπτ</w:t>
      </w:r>
      <w:r w:rsidR="00CF7C6D">
        <w:rPr>
          <w:rFonts w:ascii="Arial" w:hAnsi="Arial" w:cs="Arial"/>
          <w:sz w:val="18"/>
          <w:szCs w:val="18"/>
        </w:rPr>
        <w:t>ής εξέτασης που διεξήχθη στις 09.02.2019</w:t>
      </w:r>
      <w:r>
        <w:rPr>
          <w:rFonts w:ascii="Arial" w:hAnsi="Arial" w:cs="Arial"/>
          <w:sz w:val="18"/>
          <w:szCs w:val="18"/>
        </w:rPr>
        <w:t xml:space="preserve">, κατά σειράν επιτυχίας των υποψηφίων οι οποίοι παρακάθησαν σ’ αυτή: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1341"/>
        <w:gridCol w:w="1309"/>
        <w:gridCol w:w="1343"/>
        <w:gridCol w:w="1344"/>
        <w:gridCol w:w="1485"/>
        <w:gridCol w:w="1205"/>
      </w:tblGrid>
      <w:tr w:rsidR="00585A96" w:rsidRPr="00B34364" w:rsidTr="00CF7C6D">
        <w:tc>
          <w:tcPr>
            <w:tcW w:w="288" w:type="pct"/>
            <w:vMerge w:val="restart"/>
            <w:vAlign w:val="center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</w:t>
            </w:r>
          </w:p>
        </w:tc>
        <w:tc>
          <w:tcPr>
            <w:tcW w:w="579" w:type="pct"/>
            <w:vMerge w:val="restart"/>
            <w:vAlign w:val="center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>Α</w:t>
            </w:r>
            <w:r w:rsidR="00CF7C6D">
              <w:rPr>
                <w:rFonts w:ascii="Arial" w:hAnsi="Arial" w:cs="Arial"/>
                <w:sz w:val="18"/>
                <w:szCs w:val="18"/>
              </w:rPr>
              <w:t>Ρ. ΥΠΟΨΗΦΙΟΥ</w:t>
            </w:r>
          </w:p>
        </w:tc>
        <w:tc>
          <w:tcPr>
            <w:tcW w:w="2480" w:type="pct"/>
            <w:gridSpan w:val="3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>ΒΑΘΜΟΛΟΓΙΑ ΣΕ ΚΑΘΕ ΘΕΜΑ ΤΗΣ ΕΞΕΤΑΣΗΣ</w:t>
            </w: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CF7C6D" w:rsidRDefault="00585A96" w:rsidP="00585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 xml:space="preserve">ΣΥΝΟΛΟ </w:t>
            </w:r>
            <w:r w:rsidRPr="00571D3C">
              <w:rPr>
                <w:rFonts w:ascii="Arial" w:hAnsi="Arial" w:cs="Arial"/>
                <w:sz w:val="16"/>
                <w:szCs w:val="16"/>
              </w:rPr>
              <w:t>ΒΑΘΜΟΛΟΓΙΑΣ</w:t>
            </w: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(100 Μονάδες)</w:t>
            </w:r>
          </w:p>
        </w:tc>
        <w:tc>
          <w:tcPr>
            <w:tcW w:w="744" w:type="pct"/>
            <w:vMerge w:val="restart"/>
          </w:tcPr>
          <w:p w:rsidR="00585A96" w:rsidRDefault="00585A96" w:rsidP="00585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A96" w:rsidRPr="00B34364" w:rsidRDefault="00585A96" w:rsidP="00585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ΕΠΙΤΥΧΙΑ</w:t>
            </w:r>
            <w:r w:rsidRPr="00B34364">
              <w:rPr>
                <w:rFonts w:ascii="Arial" w:hAnsi="Arial" w:cs="Arial"/>
                <w:sz w:val="18"/>
                <w:szCs w:val="18"/>
              </w:rPr>
              <w:t xml:space="preserve">/ ΑΠΟΤΥΧΙΑ </w:t>
            </w:r>
          </w:p>
        </w:tc>
      </w:tr>
      <w:tr w:rsidR="00585A96" w:rsidRPr="00B34364" w:rsidTr="00CF7C6D">
        <w:tc>
          <w:tcPr>
            <w:tcW w:w="288" w:type="pct"/>
            <w:vMerge/>
            <w:vAlign w:val="center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CF7C6D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>ΕΛΛΗΝΙΚΑ</w:t>
            </w: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(Με βαρύτητα </w:t>
            </w:r>
            <w:r w:rsidRPr="00CF7C6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826" w:type="pct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>ΕΙΔΙΚΟ ΘΕΜΑ</w:t>
            </w: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(Με βαρύτητα </w:t>
            </w:r>
            <w:r w:rsidR="00024680">
              <w:rPr>
                <w:rFonts w:ascii="Arial" w:hAnsi="Arial" w:cs="Arial"/>
                <w:sz w:val="18"/>
                <w:szCs w:val="18"/>
                <w:lang w:val="en-US"/>
              </w:rPr>
              <w:t>68,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826" w:type="pct"/>
          </w:tcPr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4364">
              <w:rPr>
                <w:rFonts w:ascii="Arial" w:hAnsi="Arial" w:cs="Arial"/>
                <w:sz w:val="18"/>
                <w:szCs w:val="18"/>
              </w:rPr>
              <w:t>ΑΓΓΛΙΚΑ</w:t>
            </w:r>
          </w:p>
          <w:p w:rsidR="00585A96" w:rsidRPr="00B34364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(Με βαρύτητα 12,50%)</w:t>
            </w:r>
          </w:p>
        </w:tc>
        <w:tc>
          <w:tcPr>
            <w:tcW w:w="909" w:type="pct"/>
            <w:vMerge/>
          </w:tcPr>
          <w:p w:rsidR="00585A96" w:rsidRPr="00B34364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:rsidR="00585A96" w:rsidRPr="00B34364" w:rsidRDefault="00585A96" w:rsidP="00585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C6D" w:rsidRPr="00A06479" w:rsidTr="00CF7C6D">
        <w:trPr>
          <w:trHeight w:val="331"/>
        </w:trPr>
        <w:tc>
          <w:tcPr>
            <w:tcW w:w="288" w:type="pct"/>
            <w:vAlign w:val="center"/>
          </w:tcPr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4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83,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585A96" w:rsidP="000246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  <w:r w:rsidR="0002468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744" w:type="pct"/>
            <w:vAlign w:val="bottom"/>
          </w:tcPr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 w:rsidRPr="00A06479"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4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585A96" w:rsidP="000246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  <w:r w:rsidR="00024680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44" w:type="pct"/>
            <w:vAlign w:val="bottom"/>
          </w:tcPr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 w:rsidRPr="00A06479"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744" w:type="pct"/>
            <w:vAlign w:val="bottom"/>
          </w:tcPr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 w:rsidRPr="00A06479"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65,</w:t>
            </w:r>
            <w:r w:rsidR="00CF7C6D">
              <w:rPr>
                <w:rFonts w:ascii="Arial" w:hAnsi="Arial" w:cs="Arial"/>
                <w:sz w:val="18"/>
                <w:szCs w:val="18"/>
              </w:rPr>
              <w:t>5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46,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86,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48,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Pr="00A06479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ΕΠΙΤΥΧΙΑ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68,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CF7C6D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67,</w:t>
            </w:r>
            <w:r w:rsidR="00CF7C6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Pr="00975187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CF7C6D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66,</w:t>
            </w:r>
            <w:r w:rsidR="00CF7C6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Pr="00975187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CF7C6D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30,</w:t>
            </w:r>
            <w:r w:rsidR="00CF7C6D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  <w:tr w:rsidR="00CF7C6D" w:rsidRPr="00A06479" w:rsidTr="00CF7C6D">
        <w:tc>
          <w:tcPr>
            <w:tcW w:w="288" w:type="pct"/>
            <w:vAlign w:val="center"/>
          </w:tcPr>
          <w:p w:rsidR="00585A96" w:rsidRPr="00975187" w:rsidRDefault="00585A96" w:rsidP="00585A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13.</w:t>
            </w:r>
          </w:p>
        </w:tc>
        <w:tc>
          <w:tcPr>
            <w:tcW w:w="579" w:type="pct"/>
            <w:vAlign w:val="bottom"/>
          </w:tcPr>
          <w:p w:rsidR="00585A96" w:rsidRPr="00CF7C6D" w:rsidRDefault="00CF7C6D" w:rsidP="00CF7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8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26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826" w:type="pct"/>
            <w:vAlign w:val="bottom"/>
          </w:tcPr>
          <w:p w:rsidR="00585A96" w:rsidRPr="00CF7C6D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35,</w:t>
            </w:r>
            <w:r w:rsidR="00CF7C6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909" w:type="pct"/>
            <w:vAlign w:val="bottom"/>
          </w:tcPr>
          <w:p w:rsidR="00585A96" w:rsidRPr="00585A96" w:rsidRDefault="00024680" w:rsidP="00CF7C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25,</w:t>
            </w:r>
            <w:r w:rsidR="00585A96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744" w:type="pct"/>
            <w:vAlign w:val="bottom"/>
          </w:tcPr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</w:p>
          <w:p w:rsidR="00585A96" w:rsidRDefault="00585A96" w:rsidP="00585A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ΑΠΟΤΥΧΙΑ </w:t>
            </w:r>
          </w:p>
        </w:tc>
      </w:tr>
    </w:tbl>
    <w:p w:rsidR="00B34364" w:rsidRPr="00975187" w:rsidRDefault="00B34364" w:rsidP="00585A9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34364" w:rsidRDefault="00B34364" w:rsidP="00B343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Σύμφωνα με τις πρόνοιες των υπό αναφορά Νόμων: </w:t>
      </w:r>
    </w:p>
    <w:p w:rsidR="00B34364" w:rsidRDefault="00B34364" w:rsidP="00B34364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(α) «Επιτυχών» σημαίνει πρόσωπο που συμμετέχει στη γραπτή εξέταση και συγκεντρώνει συνολική γενική βαθμολογία 50%</w:t>
      </w:r>
      <w:r w:rsidR="00571D3C">
        <w:rPr>
          <w:rFonts w:ascii="Arial" w:hAnsi="Arial" w:cs="Arial"/>
          <w:sz w:val="18"/>
          <w:szCs w:val="18"/>
        </w:rPr>
        <w:t xml:space="preserve"> τουλάχιστον κατά μέσο όρο και στο καθένα από τα θέματα που περιλαμβάνονται στην εξέταση 40% τουλάχιστον.</w:t>
      </w:r>
    </w:p>
    <w:p w:rsidR="00571D3C" w:rsidRDefault="00571D3C" w:rsidP="00B34364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(β)  Στην προφορική εξέταση που θα διενεργηθεί στο πλαίσιο της διαδικασίας πλήρωσης της θέσης , θα κληθούν οι τρείς (3) πρώτοι κατά σειρά βαθμολογικής κατάταξης επιτυχόντες υποψήφιοι.  Οι υποψήφιοι αυτοί θα ειδοποιηθούν σχετικά με προσωπική επιστολή. </w:t>
      </w:r>
    </w:p>
    <w:p w:rsidR="00571D3C" w:rsidRDefault="00571D3C" w:rsidP="00B34364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:rsidR="00571D3C" w:rsidRPr="000B1C5F" w:rsidRDefault="00571D3C" w:rsidP="00571D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1C5F">
        <w:rPr>
          <w:rFonts w:ascii="Arial" w:hAnsi="Arial" w:cs="Arial"/>
          <w:sz w:val="18"/>
          <w:szCs w:val="18"/>
        </w:rPr>
        <w:t xml:space="preserve">Η παρούσα ανακοίνωση είναι δημοσιευμένη και στην ιστοσελίδα του Δήμου Γεροσκήπου </w:t>
      </w:r>
      <w:r w:rsidRPr="000B1C5F">
        <w:rPr>
          <w:rFonts w:ascii="Arial" w:hAnsi="Arial" w:cs="Arial"/>
          <w:sz w:val="18"/>
          <w:szCs w:val="18"/>
          <w:lang w:val="en-GB"/>
        </w:rPr>
        <w:t>www</w:t>
      </w:r>
      <w:r w:rsidRPr="000B1C5F">
        <w:rPr>
          <w:rFonts w:ascii="Arial" w:hAnsi="Arial" w:cs="Arial"/>
          <w:sz w:val="18"/>
          <w:szCs w:val="18"/>
        </w:rPr>
        <w:t>.</w:t>
      </w:r>
      <w:r w:rsidR="000B1C5F">
        <w:rPr>
          <w:rFonts w:ascii="Arial" w:eastAsiaTheme="minorEastAsia" w:hAnsi="Arial" w:cs="Arial"/>
          <w:sz w:val="18"/>
          <w:szCs w:val="18"/>
          <w:lang w:val="en-US" w:eastAsia="zh-CN"/>
        </w:rPr>
        <w:t>geroskipou</w:t>
      </w:r>
      <w:r w:rsidR="000B1C5F" w:rsidRPr="000B1C5F">
        <w:rPr>
          <w:rFonts w:ascii="Arial" w:eastAsiaTheme="minorEastAsia" w:hAnsi="Arial" w:cs="Arial"/>
          <w:sz w:val="18"/>
          <w:szCs w:val="18"/>
          <w:lang w:eastAsia="zh-CN"/>
        </w:rPr>
        <w:t>.</w:t>
      </w:r>
      <w:r w:rsidR="000B1C5F">
        <w:rPr>
          <w:rFonts w:ascii="Arial" w:eastAsiaTheme="minorEastAsia" w:hAnsi="Arial" w:cs="Arial"/>
          <w:sz w:val="18"/>
          <w:szCs w:val="18"/>
          <w:lang w:val="en-US" w:eastAsia="zh-CN"/>
        </w:rPr>
        <w:t>org</w:t>
      </w:r>
      <w:r w:rsidR="000B1C5F" w:rsidRPr="000B1C5F">
        <w:rPr>
          <w:rFonts w:ascii="Arial" w:eastAsiaTheme="minorEastAsia" w:hAnsi="Arial" w:cs="Arial"/>
          <w:sz w:val="18"/>
          <w:szCs w:val="18"/>
          <w:lang w:eastAsia="zh-CN"/>
        </w:rPr>
        <w:t>.</w:t>
      </w:r>
      <w:r w:rsidR="000B1C5F">
        <w:rPr>
          <w:rFonts w:ascii="Arial" w:eastAsiaTheme="minorEastAsia" w:hAnsi="Arial" w:cs="Arial"/>
          <w:sz w:val="18"/>
          <w:szCs w:val="18"/>
          <w:lang w:val="en-US" w:eastAsia="zh-CN"/>
        </w:rPr>
        <w:t>cy</w:t>
      </w:r>
    </w:p>
    <w:p w:rsidR="00571D3C" w:rsidRDefault="00571D3C" w:rsidP="00571D3C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</w:p>
    <w:p w:rsidR="00571D3C" w:rsidRPr="00F9112F" w:rsidRDefault="00571D3C" w:rsidP="00571D3C">
      <w:pPr>
        <w:jc w:val="both"/>
        <w:rPr>
          <w:rFonts w:ascii="Arial" w:hAnsi="Arial" w:cs="Arial"/>
          <w:sz w:val="18"/>
          <w:szCs w:val="18"/>
        </w:rPr>
      </w:pPr>
    </w:p>
    <w:p w:rsidR="00571D3C" w:rsidRPr="00571D3C" w:rsidRDefault="001E69BE" w:rsidP="00571D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bookmarkStart w:id="0" w:name="_GoBack"/>
      <w:bookmarkEnd w:id="0"/>
      <w:r w:rsidR="00CF7C6D">
        <w:rPr>
          <w:rFonts w:ascii="Arial" w:hAnsi="Arial" w:cs="Arial"/>
          <w:sz w:val="18"/>
          <w:szCs w:val="18"/>
        </w:rPr>
        <w:t xml:space="preserve"> Απριλίου 2019</w:t>
      </w:r>
    </w:p>
    <w:sectPr w:rsidR="00571D3C" w:rsidRPr="00571D3C" w:rsidSect="00B34364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5BA0"/>
    <w:multiLevelType w:val="hybridMultilevel"/>
    <w:tmpl w:val="815C4C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85"/>
    <w:rsid w:val="00024680"/>
    <w:rsid w:val="000B1C5F"/>
    <w:rsid w:val="001E69BE"/>
    <w:rsid w:val="00477DD6"/>
    <w:rsid w:val="00555C6B"/>
    <w:rsid w:val="00571D3C"/>
    <w:rsid w:val="00585A96"/>
    <w:rsid w:val="00606585"/>
    <w:rsid w:val="00812740"/>
    <w:rsid w:val="008633C7"/>
    <w:rsid w:val="008F2EEC"/>
    <w:rsid w:val="009571AE"/>
    <w:rsid w:val="00975187"/>
    <w:rsid w:val="009C0B73"/>
    <w:rsid w:val="00A06479"/>
    <w:rsid w:val="00A719E0"/>
    <w:rsid w:val="00B34364"/>
    <w:rsid w:val="00B426AE"/>
    <w:rsid w:val="00B53F11"/>
    <w:rsid w:val="00CD1E30"/>
    <w:rsid w:val="00CF7C6D"/>
    <w:rsid w:val="00D571F4"/>
    <w:rsid w:val="00D83E02"/>
    <w:rsid w:val="00F9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9C04-4A6A-4B3C-85B0-48EAA5F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85"/>
    <w:pPr>
      <w:ind w:left="720"/>
      <w:contextualSpacing/>
    </w:pPr>
  </w:style>
  <w:style w:type="table" w:styleId="TableGrid">
    <w:name w:val="Table Grid"/>
    <w:basedOn w:val="TableNormal"/>
    <w:uiPriority w:val="39"/>
    <w:rsid w:val="0060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Kostas Anastasiades</cp:lastModifiedBy>
  <cp:revision>4</cp:revision>
  <cp:lastPrinted>2019-04-10T10:49:00Z</cp:lastPrinted>
  <dcterms:created xsi:type="dcterms:W3CDTF">2019-04-10T11:47:00Z</dcterms:created>
  <dcterms:modified xsi:type="dcterms:W3CDTF">2019-04-15T05:18:00Z</dcterms:modified>
</cp:coreProperties>
</file>